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43D" w:rsidRPr="007A543D" w:rsidRDefault="007A543D" w:rsidP="007A543D">
      <w:pPr>
        <w:shd w:val="clear" w:color="auto" w:fill="FFFFFF"/>
        <w:spacing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4A48F"/>
          <w:sz w:val="45"/>
          <w:szCs w:val="45"/>
          <w:lang w:eastAsia="it-IT"/>
        </w:rPr>
      </w:pPr>
      <w:r w:rsidRPr="007A543D">
        <w:rPr>
          <w:rFonts w:ascii="Arial" w:eastAsia="Times New Roman" w:hAnsi="Arial" w:cs="Arial"/>
          <w:b/>
          <w:bCs/>
          <w:color w:val="14A48F"/>
          <w:sz w:val="45"/>
          <w:szCs w:val="45"/>
          <w:lang w:eastAsia="it-IT"/>
        </w:rPr>
        <w:t xml:space="preserve">Lavora con il tracciato </w:t>
      </w:r>
      <w:proofErr w:type="spellStart"/>
      <w:r w:rsidRPr="007A543D">
        <w:rPr>
          <w:rFonts w:ascii="Arial" w:eastAsia="Times New Roman" w:hAnsi="Arial" w:cs="Arial"/>
          <w:b/>
          <w:bCs/>
          <w:color w:val="14A48F"/>
          <w:sz w:val="45"/>
          <w:szCs w:val="45"/>
          <w:lang w:eastAsia="it-IT"/>
        </w:rPr>
        <w:t>cefalometrico</w:t>
      </w:r>
      <w:proofErr w:type="spellEnd"/>
      <w:r w:rsidRPr="007A543D">
        <w:rPr>
          <w:rFonts w:ascii="Arial" w:eastAsia="Times New Roman" w:hAnsi="Arial" w:cs="Arial"/>
          <w:b/>
          <w:bCs/>
          <w:color w:val="14A48F"/>
          <w:sz w:val="45"/>
          <w:szCs w:val="45"/>
          <w:lang w:eastAsia="it-IT"/>
        </w:rPr>
        <w:t xml:space="preserve"> a video</w:t>
      </w:r>
    </w:p>
    <w:p w:rsidR="007A543D" w:rsidRPr="007A543D" w:rsidRDefault="007A543D" w:rsidP="007A543D">
      <w:pPr>
        <w:shd w:val="clear" w:color="auto" w:fill="FFFFFF"/>
        <w:spacing w:after="0" w:line="336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proofErr w:type="spellStart"/>
      <w:r w:rsidRPr="007A543D">
        <w:rPr>
          <w:rFonts w:ascii="inherit" w:eastAsia="Times New Roman" w:hAnsi="inherit" w:cs="Arial"/>
          <w:sz w:val="24"/>
          <w:szCs w:val="24"/>
          <w:lang w:eastAsia="it-IT"/>
        </w:rPr>
        <w:t>ll</w:t>
      </w:r>
      <w:proofErr w:type="spellEnd"/>
      <w:r w:rsidRPr="007A543D">
        <w:rPr>
          <w:rFonts w:ascii="inherit" w:eastAsia="Times New Roman" w:hAnsi="inherit" w:cs="Arial"/>
          <w:sz w:val="24"/>
          <w:szCs w:val="24"/>
          <w:lang w:eastAsia="it-IT"/>
        </w:rPr>
        <w:t xml:space="preserve"> programma </w:t>
      </w:r>
      <w:r w:rsidRPr="007A543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it-IT"/>
        </w:rPr>
        <w:t>IMCEPH.net</w:t>
      </w:r>
      <w:r w:rsidRPr="007A543D">
        <w:rPr>
          <w:rFonts w:ascii="inherit" w:eastAsia="Times New Roman" w:hAnsi="inherit" w:cs="Arial"/>
          <w:sz w:val="24"/>
          <w:szCs w:val="24"/>
          <w:lang w:eastAsia="it-IT"/>
        </w:rPr>
        <w:t xml:space="preserve"> permette, dopo aver acquisito la teleradiografia, da scanner </w:t>
      </w:r>
      <w:proofErr w:type="spellStart"/>
      <w:r w:rsidRPr="007A543D">
        <w:rPr>
          <w:rFonts w:ascii="inherit" w:eastAsia="Times New Roman" w:hAnsi="inherit" w:cs="Arial"/>
          <w:sz w:val="24"/>
          <w:szCs w:val="24"/>
          <w:lang w:eastAsia="it-IT"/>
        </w:rPr>
        <w:t>retrolilluminato</w:t>
      </w:r>
      <w:proofErr w:type="spellEnd"/>
      <w:r w:rsidRPr="007A543D">
        <w:rPr>
          <w:rFonts w:ascii="inherit" w:eastAsia="Times New Roman" w:hAnsi="inherit" w:cs="Arial"/>
          <w:sz w:val="24"/>
          <w:szCs w:val="24"/>
          <w:lang w:eastAsia="it-IT"/>
        </w:rPr>
        <w:t xml:space="preserve">, da sistemi di </w:t>
      </w:r>
      <w:proofErr w:type="spellStart"/>
      <w:r w:rsidRPr="007A543D">
        <w:rPr>
          <w:rFonts w:ascii="inherit" w:eastAsia="Times New Roman" w:hAnsi="inherit" w:cs="Arial"/>
          <w:sz w:val="24"/>
          <w:szCs w:val="24"/>
          <w:lang w:eastAsia="it-IT"/>
        </w:rPr>
        <w:t>radiovideografia</w:t>
      </w:r>
      <w:proofErr w:type="spellEnd"/>
      <w:r w:rsidRPr="007A543D">
        <w:rPr>
          <w:rFonts w:ascii="inherit" w:eastAsia="Times New Roman" w:hAnsi="inherit" w:cs="Arial"/>
          <w:sz w:val="24"/>
          <w:szCs w:val="24"/>
          <w:lang w:eastAsia="it-IT"/>
        </w:rPr>
        <w:t xml:space="preserve">, e/o da </w:t>
      </w:r>
      <w:proofErr w:type="spellStart"/>
      <w:r w:rsidRPr="007A543D">
        <w:rPr>
          <w:rFonts w:ascii="inherit" w:eastAsia="Times New Roman" w:hAnsi="inherit" w:cs="Arial"/>
          <w:sz w:val="24"/>
          <w:szCs w:val="24"/>
          <w:lang w:eastAsia="it-IT"/>
        </w:rPr>
        <w:t>ortopantomografi</w:t>
      </w:r>
      <w:proofErr w:type="spellEnd"/>
      <w:r w:rsidRPr="007A543D">
        <w:rPr>
          <w:rFonts w:ascii="inherit" w:eastAsia="Times New Roman" w:hAnsi="inherit" w:cs="Arial"/>
          <w:sz w:val="24"/>
          <w:szCs w:val="24"/>
          <w:lang w:eastAsia="it-IT"/>
        </w:rPr>
        <w:t xml:space="preserve"> digitali o da file, la realizzazione del </w:t>
      </w:r>
      <w:r w:rsidRPr="007A543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tracciato </w:t>
      </w:r>
      <w:proofErr w:type="spellStart"/>
      <w:r w:rsidRPr="007A543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it-IT"/>
        </w:rPr>
        <w:t>cefalometrico</w:t>
      </w:r>
      <w:proofErr w:type="spellEnd"/>
      <w:r w:rsidRPr="007A543D">
        <w:rPr>
          <w:rFonts w:ascii="inherit" w:eastAsia="Times New Roman" w:hAnsi="inherit" w:cs="Arial"/>
          <w:sz w:val="24"/>
          <w:szCs w:val="24"/>
          <w:lang w:eastAsia="it-IT"/>
        </w:rPr>
        <w:t> </w:t>
      </w:r>
      <w:r w:rsidRPr="007A543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it-IT"/>
        </w:rPr>
        <w:t>direttamente a video.</w:t>
      </w:r>
      <w:r w:rsidRPr="007A543D">
        <w:rPr>
          <w:rFonts w:ascii="inherit" w:eastAsia="Times New Roman" w:hAnsi="inherit" w:cs="Arial"/>
          <w:sz w:val="24"/>
          <w:szCs w:val="24"/>
          <w:lang w:eastAsia="it-IT"/>
        </w:rPr>
        <w:t xml:space="preserve"> L’inserimento dei dati richiesti per l’elaborazione del tracciato è supportato da un utile glossario sonoro ed animato, relativo a </w:t>
      </w:r>
      <w:proofErr w:type="spellStart"/>
      <w:r w:rsidRPr="007A543D">
        <w:rPr>
          <w:rFonts w:ascii="inherit" w:eastAsia="Times New Roman" w:hAnsi="inherit" w:cs="Arial"/>
          <w:sz w:val="24"/>
          <w:szCs w:val="24"/>
          <w:lang w:eastAsia="it-IT"/>
        </w:rPr>
        <w:t>reperi</w:t>
      </w:r>
      <w:proofErr w:type="spellEnd"/>
      <w:r w:rsidRPr="007A543D">
        <w:rPr>
          <w:rFonts w:ascii="inherit" w:eastAsia="Times New Roman" w:hAnsi="inherit" w:cs="Arial"/>
          <w:sz w:val="24"/>
          <w:szCs w:val="24"/>
          <w:lang w:eastAsia="it-IT"/>
        </w:rPr>
        <w:t xml:space="preserve">, strutture ossee e dentali, tessuti molli. Successivamente all’acquisizione della radiografia la procedura di calibrazione può essere automatizzata per ogni sorgente e si può procedere alla selezione della metodica </w:t>
      </w:r>
      <w:proofErr w:type="spellStart"/>
      <w:r w:rsidRPr="007A543D">
        <w:rPr>
          <w:rFonts w:ascii="inherit" w:eastAsia="Times New Roman" w:hAnsi="inherit" w:cs="Arial"/>
          <w:sz w:val="24"/>
          <w:szCs w:val="24"/>
          <w:lang w:eastAsia="it-IT"/>
        </w:rPr>
        <w:t>cefalometrica</w:t>
      </w:r>
      <w:proofErr w:type="spellEnd"/>
      <w:r w:rsidRPr="007A543D">
        <w:rPr>
          <w:rFonts w:ascii="inherit" w:eastAsia="Times New Roman" w:hAnsi="inherit" w:cs="Arial"/>
          <w:sz w:val="24"/>
          <w:szCs w:val="24"/>
          <w:lang w:eastAsia="it-IT"/>
        </w:rPr>
        <w:t xml:space="preserve"> secondo la frequenza di utilizzo. </w:t>
      </w:r>
    </w:p>
    <w:p w:rsidR="007A543D" w:rsidRPr="007A543D" w:rsidRDefault="007A543D" w:rsidP="007A543D">
      <w:pPr>
        <w:shd w:val="clear" w:color="auto" w:fill="FFFFFF"/>
        <w:spacing w:line="336" w:lineRule="atLeast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7A543D">
        <w:rPr>
          <w:rFonts w:ascii="inherit" w:eastAsia="Times New Roman" w:hAnsi="inherit" w:cs="Arial"/>
          <w:sz w:val="24"/>
          <w:szCs w:val="24"/>
          <w:lang w:eastAsia="it-IT"/>
        </w:rPr>
        <w:t>La definizione dei </w:t>
      </w:r>
      <w:proofErr w:type="spellStart"/>
      <w:r w:rsidRPr="007A543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it-IT"/>
        </w:rPr>
        <w:t>reperi</w:t>
      </w:r>
      <w:proofErr w:type="spellEnd"/>
      <w:r w:rsidRPr="007A543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7A543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it-IT"/>
        </w:rPr>
        <w:t>cefalometrici</w:t>
      </w:r>
      <w:proofErr w:type="spellEnd"/>
      <w:r w:rsidRPr="007A543D">
        <w:rPr>
          <w:rFonts w:ascii="inherit" w:eastAsia="Times New Roman" w:hAnsi="inherit" w:cs="Arial"/>
          <w:sz w:val="24"/>
          <w:szCs w:val="24"/>
          <w:lang w:eastAsia="it-IT"/>
        </w:rPr>
        <w:t>, si esegue a video grazie alle funzioni di zoom locale, elaborazione delle immagini, filtri e modifiche delle scale di grigio.  L’assoluta libertà di personalizzazione dei parametri rende </w:t>
      </w:r>
      <w:r w:rsidRPr="007A543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it-IT"/>
        </w:rPr>
        <w:t>IMCEPH.net uno strumento perfettamente adattabile alle specifiche esigenze dello studio odontoiatrico.</w:t>
      </w:r>
    </w:p>
    <w:p w:rsidR="007A543D" w:rsidRPr="007A543D" w:rsidRDefault="007A543D" w:rsidP="007A543D">
      <w:pPr>
        <w:shd w:val="clear" w:color="auto" w:fill="FFFFFF"/>
        <w:spacing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4A48F"/>
          <w:sz w:val="45"/>
          <w:szCs w:val="45"/>
          <w:lang w:eastAsia="it-IT"/>
        </w:rPr>
      </w:pPr>
      <w:r w:rsidRPr="007A543D">
        <w:rPr>
          <w:rFonts w:ascii="Arial" w:eastAsia="Times New Roman" w:hAnsi="Arial" w:cs="Arial"/>
          <w:b/>
          <w:bCs/>
          <w:color w:val="14A48F"/>
          <w:sz w:val="45"/>
          <w:szCs w:val="45"/>
          <w:lang w:eastAsia="it-IT"/>
        </w:rPr>
        <w:t>FUNZIONALITÁ DEL SOFTWARE</w:t>
      </w:r>
    </w:p>
    <w:p w:rsidR="007A543D" w:rsidRPr="007A543D" w:rsidRDefault="007A543D" w:rsidP="007A543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it-IT"/>
        </w:rPr>
      </w:pPr>
      <w:hyperlink r:id="rId5" w:history="1">
        <w:r w:rsidRPr="007A543D">
          <w:rPr>
            <w:rFonts w:ascii="Arial" w:eastAsia="Times New Roman" w:hAnsi="Arial" w:cs="Arial"/>
            <w:b/>
            <w:bCs/>
            <w:color w:val="14A48F"/>
            <w:sz w:val="27"/>
            <w:szCs w:val="27"/>
            <w:u w:val="single"/>
            <w:bdr w:val="none" w:sz="0" w:space="0" w:color="auto" w:frame="1"/>
            <w:lang w:eastAsia="it-IT"/>
          </w:rPr>
          <w:t>CARTELLA CLINICA</w:t>
        </w:r>
      </w:hyperlink>
    </w:p>
    <w:p w:rsidR="007A543D" w:rsidRPr="007A543D" w:rsidRDefault="007A543D" w:rsidP="007A543D">
      <w:pPr>
        <w:spacing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7A543D">
        <w:rPr>
          <w:rFonts w:ascii="inherit" w:eastAsia="Times New Roman" w:hAnsi="inherit" w:cs="Arial"/>
          <w:sz w:val="24"/>
          <w:szCs w:val="24"/>
          <w:lang w:eastAsia="it-IT"/>
        </w:rPr>
        <w:t>Abbiamo integrato in IMCEPH.net l’uso della </w:t>
      </w:r>
      <w:r w:rsidRPr="007A543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it-IT"/>
        </w:rPr>
        <w:t>cartella clinica</w:t>
      </w:r>
      <w:r w:rsidRPr="007A543D">
        <w:rPr>
          <w:rFonts w:ascii="inherit" w:eastAsia="Times New Roman" w:hAnsi="inherit" w:cs="Arial"/>
          <w:sz w:val="24"/>
          <w:szCs w:val="24"/>
          <w:lang w:eastAsia="it-IT"/>
        </w:rPr>
        <w:t> così da soddisfare l’ampia gamma di cartelle ortodontiche esistenti. Grazie alla cartella clinica è possibile la trasposizione digitale di tutti i documenti cartacei.</w:t>
      </w:r>
    </w:p>
    <w:p w:rsidR="007A543D" w:rsidRPr="007A543D" w:rsidRDefault="007A543D" w:rsidP="007A543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it-IT"/>
        </w:rPr>
      </w:pPr>
      <w:hyperlink r:id="rId6" w:history="1">
        <w:r w:rsidRPr="007A543D">
          <w:rPr>
            <w:rFonts w:ascii="Arial" w:eastAsia="Times New Roman" w:hAnsi="Arial" w:cs="Arial"/>
            <w:b/>
            <w:bCs/>
            <w:color w:val="14A48F"/>
            <w:sz w:val="27"/>
            <w:szCs w:val="27"/>
            <w:u w:val="single"/>
            <w:bdr w:val="none" w:sz="0" w:space="0" w:color="auto" w:frame="1"/>
            <w:lang w:eastAsia="it-IT"/>
          </w:rPr>
          <w:t>DIARIO CLINICO</w:t>
        </w:r>
      </w:hyperlink>
    </w:p>
    <w:p w:rsidR="007A543D" w:rsidRPr="007A543D" w:rsidRDefault="007A543D" w:rsidP="007A543D">
      <w:pPr>
        <w:spacing w:after="30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7A543D">
        <w:rPr>
          <w:rFonts w:ascii="inherit" w:eastAsia="Times New Roman" w:hAnsi="inherit" w:cs="Arial"/>
          <w:sz w:val="24"/>
          <w:szCs w:val="24"/>
          <w:lang w:eastAsia="it-IT"/>
        </w:rPr>
        <w:t>Progettato per una gestione puntuale dei ritmi intensi dello studio odontoiatrico, permette l’archiviazione ad ogni appuntamento di:</w:t>
      </w:r>
    </w:p>
    <w:p w:rsidR="007A543D" w:rsidRPr="007A543D" w:rsidRDefault="007A543D" w:rsidP="007A543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7A543D">
        <w:rPr>
          <w:rFonts w:ascii="inherit" w:eastAsia="Times New Roman" w:hAnsi="inherit" w:cs="Arial"/>
          <w:sz w:val="24"/>
          <w:szCs w:val="24"/>
          <w:lang w:eastAsia="it-IT"/>
        </w:rPr>
        <w:t>immagini: lastre, foto, modelli</w:t>
      </w:r>
    </w:p>
    <w:p w:rsidR="007A543D" w:rsidRPr="007A543D" w:rsidRDefault="007A543D" w:rsidP="007A543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7A543D">
        <w:rPr>
          <w:rFonts w:ascii="inherit" w:eastAsia="Times New Roman" w:hAnsi="inherit" w:cs="Arial"/>
          <w:sz w:val="24"/>
          <w:szCs w:val="24"/>
          <w:lang w:eastAsia="it-IT"/>
        </w:rPr>
        <w:t>valutazione igienica e psicologica</w:t>
      </w:r>
    </w:p>
    <w:p w:rsidR="007A543D" w:rsidRPr="007A543D" w:rsidRDefault="007A543D" w:rsidP="007A543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7A543D">
        <w:rPr>
          <w:rFonts w:ascii="inherit" w:eastAsia="Times New Roman" w:hAnsi="inherit" w:cs="Arial"/>
          <w:sz w:val="24"/>
          <w:szCs w:val="24"/>
          <w:lang w:eastAsia="it-IT"/>
        </w:rPr>
        <w:t>informazioni suddivise per arcata inferiore e superiore </w:t>
      </w:r>
    </w:p>
    <w:p w:rsidR="007A543D" w:rsidRPr="007A543D" w:rsidRDefault="007A543D" w:rsidP="007A543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7A543D">
        <w:rPr>
          <w:rFonts w:ascii="inherit" w:eastAsia="Times New Roman" w:hAnsi="inherit" w:cs="Arial"/>
          <w:sz w:val="24"/>
          <w:szCs w:val="24"/>
          <w:lang w:eastAsia="it-IT"/>
        </w:rPr>
        <w:t>medico e assistenti assegnati</w:t>
      </w:r>
    </w:p>
    <w:p w:rsidR="007A543D" w:rsidRPr="007A543D" w:rsidRDefault="007A543D" w:rsidP="007A543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7A543D">
        <w:rPr>
          <w:rFonts w:ascii="inherit" w:eastAsia="Times New Roman" w:hAnsi="inherit" w:cs="Arial"/>
          <w:sz w:val="24"/>
          <w:szCs w:val="24"/>
          <w:lang w:eastAsia="it-IT"/>
        </w:rPr>
        <w:t>un mancato appuntamento </w:t>
      </w:r>
    </w:p>
    <w:p w:rsidR="007A543D" w:rsidRPr="007A543D" w:rsidRDefault="007A543D" w:rsidP="007A543D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7A543D">
        <w:rPr>
          <w:rFonts w:ascii="inherit" w:eastAsia="Times New Roman" w:hAnsi="inherit" w:cs="Arial"/>
          <w:sz w:val="24"/>
          <w:szCs w:val="24"/>
          <w:lang w:eastAsia="it-IT"/>
        </w:rPr>
        <w:t>note da rivedere per l’appuntamento successivo </w:t>
      </w:r>
    </w:p>
    <w:p w:rsidR="007A543D" w:rsidRPr="007A543D" w:rsidRDefault="007A543D" w:rsidP="007A543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it-IT"/>
        </w:rPr>
      </w:pPr>
      <w:hyperlink r:id="rId7" w:history="1">
        <w:r w:rsidRPr="007A543D">
          <w:rPr>
            <w:rFonts w:ascii="Arial" w:eastAsia="Times New Roman" w:hAnsi="Arial" w:cs="Arial"/>
            <w:b/>
            <w:bCs/>
            <w:color w:val="14A48F"/>
            <w:sz w:val="27"/>
            <w:szCs w:val="27"/>
            <w:u w:val="single"/>
            <w:bdr w:val="none" w:sz="0" w:space="0" w:color="auto" w:frame="1"/>
            <w:lang w:eastAsia="it-IT"/>
          </w:rPr>
          <w:t>STRUTTURE OSSEE E TESSUTI MOLLI</w:t>
        </w:r>
      </w:hyperlink>
    </w:p>
    <w:p w:rsidR="007A543D" w:rsidRPr="007A543D" w:rsidRDefault="007A543D" w:rsidP="007A543D">
      <w:pPr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7A543D">
        <w:rPr>
          <w:rFonts w:ascii="inherit" w:eastAsia="Times New Roman" w:hAnsi="inherit" w:cs="Arial"/>
          <w:sz w:val="24"/>
          <w:szCs w:val="24"/>
          <w:lang w:eastAsia="it-IT"/>
        </w:rPr>
        <w:t>Il software consente con facilità e precisione di </w:t>
      </w:r>
      <w:r w:rsidRPr="007A543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disegnare la struttura ossea e i tessuti </w:t>
      </w:r>
      <w:proofErr w:type="gramStart"/>
      <w:r w:rsidRPr="007A543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it-IT"/>
        </w:rPr>
        <w:t>molli,</w:t>
      </w:r>
      <w:r w:rsidRPr="007A543D">
        <w:rPr>
          <w:rFonts w:ascii="inherit" w:eastAsia="Times New Roman" w:hAnsi="inherit" w:cs="Arial"/>
          <w:sz w:val="24"/>
          <w:szCs w:val="24"/>
          <w:lang w:eastAsia="it-IT"/>
        </w:rPr>
        <w:t>  indicando</w:t>
      </w:r>
      <w:proofErr w:type="gramEnd"/>
      <w:r w:rsidRPr="007A543D">
        <w:rPr>
          <w:rFonts w:ascii="inherit" w:eastAsia="Times New Roman" w:hAnsi="inherit" w:cs="Arial"/>
          <w:sz w:val="24"/>
          <w:szCs w:val="24"/>
          <w:lang w:eastAsia="it-IT"/>
        </w:rPr>
        <w:t xml:space="preserve"> una serie di punti, sulla radiografia. Per passare da una struttura all’altra è sufficiente posizionarsi sulla sigla di un’altra struttura. L’inserimento delle </w:t>
      </w:r>
      <w:r w:rsidRPr="007A543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it-IT"/>
        </w:rPr>
        <w:t>Strutture Ossee</w:t>
      </w:r>
      <w:r w:rsidRPr="007A543D">
        <w:rPr>
          <w:rFonts w:ascii="inherit" w:eastAsia="Times New Roman" w:hAnsi="inherit" w:cs="Arial"/>
          <w:sz w:val="24"/>
          <w:szCs w:val="24"/>
          <w:lang w:eastAsia="it-IT"/>
        </w:rPr>
        <w:t> e dei </w:t>
      </w:r>
      <w:r w:rsidRPr="007A543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it-IT"/>
        </w:rPr>
        <w:t>Tessuti Molli</w:t>
      </w:r>
      <w:r w:rsidRPr="007A543D">
        <w:rPr>
          <w:rFonts w:ascii="inherit" w:eastAsia="Times New Roman" w:hAnsi="inherit" w:cs="Arial"/>
          <w:sz w:val="24"/>
          <w:szCs w:val="24"/>
          <w:lang w:eastAsia="it-IT"/>
        </w:rPr>
        <w:t> non sono obbligatori per il calcolo delle analisi.</w:t>
      </w:r>
    </w:p>
    <w:p w:rsidR="007A543D" w:rsidRPr="007A543D" w:rsidRDefault="007A543D" w:rsidP="007A543D">
      <w:pPr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7A543D">
        <w:rPr>
          <w:rFonts w:ascii="inherit" w:eastAsia="Times New Roman" w:hAnsi="inherit" w:cs="Arial"/>
          <w:sz w:val="24"/>
          <w:szCs w:val="24"/>
          <w:lang w:eastAsia="it-IT"/>
        </w:rPr>
        <w:t>Per effettuare il posizionamento del</w:t>
      </w:r>
      <w:r w:rsidRPr="007A543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it-IT"/>
        </w:rPr>
        <w:t> </w:t>
      </w:r>
      <w:proofErr w:type="spellStart"/>
      <w:r w:rsidRPr="007A543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it-IT"/>
        </w:rPr>
        <w:t>repere</w:t>
      </w:r>
      <w:proofErr w:type="spellEnd"/>
      <w:r w:rsidRPr="007A543D">
        <w:rPr>
          <w:rFonts w:ascii="inherit" w:eastAsia="Times New Roman" w:hAnsi="inherit" w:cs="Arial"/>
          <w:sz w:val="24"/>
          <w:szCs w:val="24"/>
          <w:lang w:eastAsia="it-IT"/>
        </w:rPr>
        <w:t> basta cliccare sulla radiografia in corrispondenza del punto richiesto.</w:t>
      </w:r>
    </w:p>
    <w:p w:rsidR="007A543D" w:rsidRPr="007A543D" w:rsidRDefault="007A543D" w:rsidP="007A543D">
      <w:pPr>
        <w:spacing w:after="30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7A543D">
        <w:rPr>
          <w:rFonts w:ascii="inherit" w:eastAsia="Times New Roman" w:hAnsi="inherit" w:cs="Arial"/>
          <w:sz w:val="24"/>
          <w:szCs w:val="24"/>
          <w:lang w:eastAsia="it-IT"/>
        </w:rPr>
        <w:t xml:space="preserve">Per comodità di utilizzo l’elenco prevede la suddivisione dei punti in tre categorie: ossei, dentali, estetici. La selezione automatica permette di continuare a cliccare sulla radiografia seguendo l’ordine in cui sono </w:t>
      </w:r>
      <w:proofErr w:type="gramStart"/>
      <w:r w:rsidRPr="007A543D">
        <w:rPr>
          <w:rFonts w:ascii="inherit" w:eastAsia="Times New Roman" w:hAnsi="inherit" w:cs="Arial"/>
          <w:sz w:val="24"/>
          <w:szCs w:val="24"/>
          <w:lang w:eastAsia="it-IT"/>
        </w:rPr>
        <w:t>richiesti  i</w:t>
      </w:r>
      <w:proofErr w:type="gramEnd"/>
      <w:r w:rsidRPr="007A543D">
        <w:rPr>
          <w:rFonts w:ascii="inherit" w:eastAsia="Times New Roman" w:hAnsi="inherit" w:cs="Arial"/>
          <w:sz w:val="24"/>
          <w:szCs w:val="24"/>
          <w:lang w:eastAsia="it-IT"/>
        </w:rPr>
        <w:t xml:space="preserve"> punti.</w:t>
      </w:r>
    </w:p>
    <w:p w:rsidR="007A543D" w:rsidRPr="007A543D" w:rsidRDefault="007A543D" w:rsidP="007A543D">
      <w:pPr>
        <w:spacing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7A543D">
        <w:rPr>
          <w:rFonts w:ascii="inherit" w:eastAsia="Times New Roman" w:hAnsi="inherit" w:cs="Arial"/>
          <w:sz w:val="24"/>
          <w:szCs w:val="24"/>
          <w:lang w:eastAsia="it-IT"/>
        </w:rPr>
        <w:t> </w:t>
      </w:r>
    </w:p>
    <w:p w:rsidR="007A543D" w:rsidRPr="007A543D" w:rsidRDefault="007A543D" w:rsidP="007A543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it-IT"/>
        </w:rPr>
      </w:pPr>
      <w:hyperlink r:id="rId8" w:history="1">
        <w:r w:rsidRPr="007A543D">
          <w:rPr>
            <w:rFonts w:ascii="Arial" w:eastAsia="Times New Roman" w:hAnsi="Arial" w:cs="Arial"/>
            <w:b/>
            <w:bCs/>
            <w:color w:val="14A48F"/>
            <w:sz w:val="27"/>
            <w:szCs w:val="27"/>
            <w:u w:val="single"/>
            <w:bdr w:val="none" w:sz="0" w:space="0" w:color="auto" w:frame="1"/>
            <w:lang w:eastAsia="it-IT"/>
          </w:rPr>
          <w:t>METODICHE</w:t>
        </w:r>
      </w:hyperlink>
    </w:p>
    <w:p w:rsidR="007A543D" w:rsidRPr="007A543D" w:rsidRDefault="007A543D" w:rsidP="007A543D">
      <w:pPr>
        <w:spacing w:after="30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7A543D">
        <w:rPr>
          <w:rFonts w:ascii="inherit" w:eastAsia="Times New Roman" w:hAnsi="inherit" w:cs="Arial"/>
          <w:sz w:val="24"/>
          <w:szCs w:val="24"/>
          <w:lang w:eastAsia="it-IT"/>
        </w:rPr>
        <w:t xml:space="preserve">Lo studio </w:t>
      </w:r>
      <w:proofErr w:type="spellStart"/>
      <w:r w:rsidRPr="007A543D">
        <w:rPr>
          <w:rFonts w:ascii="inherit" w:eastAsia="Times New Roman" w:hAnsi="inherit" w:cs="Arial"/>
          <w:sz w:val="24"/>
          <w:szCs w:val="24"/>
          <w:lang w:eastAsia="it-IT"/>
        </w:rPr>
        <w:t>cefalometrico</w:t>
      </w:r>
      <w:proofErr w:type="spellEnd"/>
      <w:r w:rsidRPr="007A543D">
        <w:rPr>
          <w:rFonts w:ascii="inherit" w:eastAsia="Times New Roman" w:hAnsi="inherit" w:cs="Arial"/>
          <w:sz w:val="24"/>
          <w:szCs w:val="24"/>
          <w:lang w:eastAsia="it-IT"/>
        </w:rPr>
        <w:t xml:space="preserve"> viene eseguito selezionando a corredo dell’applicazione, le più comuni metodiche </w:t>
      </w:r>
      <w:proofErr w:type="gramStart"/>
      <w:r w:rsidRPr="007A543D">
        <w:rPr>
          <w:rFonts w:ascii="inherit" w:eastAsia="Times New Roman" w:hAnsi="inherit" w:cs="Arial"/>
          <w:sz w:val="24"/>
          <w:szCs w:val="24"/>
          <w:lang w:eastAsia="it-IT"/>
        </w:rPr>
        <w:t>ortodontiche,  quali</w:t>
      </w:r>
      <w:proofErr w:type="gramEnd"/>
      <w:r w:rsidRPr="007A543D">
        <w:rPr>
          <w:rFonts w:ascii="inherit" w:eastAsia="Times New Roman" w:hAnsi="inherit" w:cs="Arial"/>
          <w:sz w:val="24"/>
          <w:szCs w:val="24"/>
          <w:lang w:eastAsia="it-IT"/>
        </w:rPr>
        <w:t>: </w:t>
      </w:r>
    </w:p>
    <w:p w:rsidR="007A543D" w:rsidRPr="007A543D" w:rsidRDefault="007A543D" w:rsidP="007A543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7A543D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it-IT"/>
        </w:rPr>
        <w:t>Arnett</w:t>
      </w:r>
    </w:p>
    <w:p w:rsidR="007A543D" w:rsidRPr="007A543D" w:rsidRDefault="007A543D" w:rsidP="007A543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7A543D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it-IT"/>
        </w:rPr>
        <w:t>Bjork</w:t>
      </w:r>
    </w:p>
    <w:p w:rsidR="007A543D" w:rsidRPr="007A543D" w:rsidRDefault="007A543D" w:rsidP="007A543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proofErr w:type="spellStart"/>
      <w:r w:rsidRPr="007A543D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it-IT"/>
        </w:rPr>
        <w:t>Jarabak</w:t>
      </w:r>
      <w:proofErr w:type="spellEnd"/>
    </w:p>
    <w:p w:rsidR="007A543D" w:rsidRPr="007A543D" w:rsidRDefault="007A543D" w:rsidP="007A543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7A543D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it-IT"/>
        </w:rPr>
        <w:t>Cagliari</w:t>
      </w:r>
    </w:p>
    <w:p w:rsidR="007A543D" w:rsidRPr="007A543D" w:rsidRDefault="007A543D" w:rsidP="007A543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proofErr w:type="spellStart"/>
      <w:r w:rsidRPr="007A543D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it-IT"/>
        </w:rPr>
        <w:t>Cervera</w:t>
      </w:r>
      <w:proofErr w:type="spellEnd"/>
    </w:p>
    <w:p w:rsidR="007A543D" w:rsidRPr="007A543D" w:rsidRDefault="007A543D" w:rsidP="007A543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proofErr w:type="spellStart"/>
      <w:r w:rsidRPr="007A543D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it-IT"/>
        </w:rPr>
        <w:t>Delaire</w:t>
      </w:r>
      <w:proofErr w:type="spellEnd"/>
    </w:p>
    <w:p w:rsidR="007A543D" w:rsidRPr="007A543D" w:rsidRDefault="007A543D" w:rsidP="007A543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7A543D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it-IT"/>
        </w:rPr>
        <w:t>Diagnosi Funzionale</w:t>
      </w:r>
    </w:p>
    <w:p w:rsidR="007A543D" w:rsidRPr="007A543D" w:rsidRDefault="007A543D" w:rsidP="007A543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7A543D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it-IT"/>
        </w:rPr>
        <w:t>EBO-IBO </w:t>
      </w:r>
    </w:p>
    <w:p w:rsidR="007A543D" w:rsidRPr="007A543D" w:rsidRDefault="007A543D" w:rsidP="007A543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proofErr w:type="spellStart"/>
      <w:r w:rsidRPr="007A543D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it-IT"/>
        </w:rPr>
        <w:t>Enlow</w:t>
      </w:r>
      <w:proofErr w:type="spellEnd"/>
    </w:p>
    <w:p w:rsidR="007A543D" w:rsidRPr="007A543D" w:rsidRDefault="007A543D" w:rsidP="007A543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proofErr w:type="spellStart"/>
      <w:r w:rsidRPr="007A543D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it-IT"/>
        </w:rPr>
        <w:t>Giannì</w:t>
      </w:r>
      <w:proofErr w:type="spellEnd"/>
      <w:r w:rsidRPr="007A543D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it-IT"/>
        </w:rPr>
        <w:t> </w:t>
      </w:r>
    </w:p>
    <w:p w:rsidR="007A543D" w:rsidRPr="007A543D" w:rsidRDefault="007A543D" w:rsidP="007A543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7A543D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it-IT"/>
        </w:rPr>
        <w:t>Kentucky</w:t>
      </w:r>
    </w:p>
    <w:p w:rsidR="007A543D" w:rsidRPr="007A543D" w:rsidRDefault="007A543D" w:rsidP="007A543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7A543D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it-IT"/>
        </w:rPr>
        <w:t>Level Anchorage </w:t>
      </w:r>
    </w:p>
    <w:p w:rsidR="007A543D" w:rsidRPr="007A543D" w:rsidRDefault="007A543D" w:rsidP="007A543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7A543D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it-IT"/>
        </w:rPr>
        <w:t>MBT®</w:t>
      </w:r>
    </w:p>
    <w:p w:rsidR="007A543D" w:rsidRPr="007A543D" w:rsidRDefault="007A543D" w:rsidP="007A543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proofErr w:type="spellStart"/>
      <w:r w:rsidRPr="007A543D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it-IT"/>
        </w:rPr>
        <w:t>McNamara</w:t>
      </w:r>
      <w:proofErr w:type="spellEnd"/>
      <w:r w:rsidRPr="007A543D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it-IT"/>
        </w:rPr>
        <w:t> </w:t>
      </w:r>
    </w:p>
    <w:p w:rsidR="007A543D" w:rsidRPr="007A543D" w:rsidRDefault="007A543D" w:rsidP="007A543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7A543D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it-IT"/>
        </w:rPr>
        <w:t>Powell </w:t>
      </w:r>
    </w:p>
    <w:p w:rsidR="007A543D" w:rsidRPr="007A543D" w:rsidRDefault="007A543D" w:rsidP="007A543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7A543D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it-IT"/>
        </w:rPr>
        <w:t>Profilo Cutaneo</w:t>
      </w:r>
    </w:p>
    <w:p w:rsidR="007A543D" w:rsidRPr="007A543D" w:rsidRDefault="007A543D" w:rsidP="007A543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7A543D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it-IT"/>
        </w:rPr>
        <w:t xml:space="preserve">Profilo </w:t>
      </w:r>
      <w:proofErr w:type="spellStart"/>
      <w:r w:rsidRPr="007A543D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it-IT"/>
        </w:rPr>
        <w:t>Dentoscheletrico</w:t>
      </w:r>
      <w:proofErr w:type="spellEnd"/>
      <w:r w:rsidRPr="007A543D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it-IT"/>
        </w:rPr>
        <w:t> </w:t>
      </w:r>
    </w:p>
    <w:p w:rsidR="007A543D" w:rsidRPr="007A543D" w:rsidRDefault="007A543D" w:rsidP="007A543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proofErr w:type="spellStart"/>
      <w:r w:rsidRPr="007A543D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it-IT"/>
        </w:rPr>
        <w:t>Richetts</w:t>
      </w:r>
      <w:proofErr w:type="spellEnd"/>
      <w:r w:rsidRPr="007A543D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it-IT"/>
        </w:rPr>
        <w:t xml:space="preserve"> (13/32 fattori)</w:t>
      </w:r>
    </w:p>
    <w:p w:rsidR="007A543D" w:rsidRPr="007A543D" w:rsidRDefault="007A543D" w:rsidP="007A543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7A543D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it-IT"/>
        </w:rPr>
        <w:t xml:space="preserve">Roth </w:t>
      </w:r>
      <w:proofErr w:type="spellStart"/>
      <w:r w:rsidRPr="007A543D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it-IT"/>
        </w:rPr>
        <w:t>Jaraback</w:t>
      </w:r>
      <w:proofErr w:type="spellEnd"/>
      <w:r w:rsidRPr="007A543D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it-IT"/>
        </w:rPr>
        <w:t> </w:t>
      </w:r>
    </w:p>
    <w:p w:rsidR="007A543D" w:rsidRPr="007A543D" w:rsidRDefault="007A543D" w:rsidP="007A543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proofErr w:type="spellStart"/>
      <w:r w:rsidRPr="007A543D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it-IT"/>
        </w:rPr>
        <w:t>Stantard</w:t>
      </w:r>
      <w:proofErr w:type="spellEnd"/>
      <w:r w:rsidRPr="007A543D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it-IT"/>
        </w:rPr>
        <w:t> </w:t>
      </w:r>
    </w:p>
    <w:p w:rsidR="007A543D" w:rsidRPr="007A543D" w:rsidRDefault="007A543D" w:rsidP="007A543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7A543D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it-IT"/>
        </w:rPr>
        <w:t>Steiner </w:t>
      </w:r>
    </w:p>
    <w:p w:rsidR="007A543D" w:rsidRPr="007A543D" w:rsidRDefault="007A543D" w:rsidP="007A543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7A543D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it-IT"/>
        </w:rPr>
        <w:t>Tweed </w:t>
      </w:r>
    </w:p>
    <w:p w:rsidR="007A543D" w:rsidRPr="007A543D" w:rsidRDefault="007A543D" w:rsidP="007A543D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sz w:val="24"/>
          <w:szCs w:val="24"/>
          <w:lang w:eastAsia="it-IT"/>
        </w:rPr>
      </w:pPr>
      <w:r w:rsidRPr="007A543D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it-IT"/>
        </w:rPr>
        <w:t>Analisi dei Modelli</w:t>
      </w:r>
    </w:p>
    <w:p w:rsidR="00A907E5" w:rsidRDefault="00A907E5"/>
    <w:sectPr w:rsidR="00A907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E1989"/>
    <w:multiLevelType w:val="multilevel"/>
    <w:tmpl w:val="872E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EB46A6"/>
    <w:multiLevelType w:val="multilevel"/>
    <w:tmpl w:val="445A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3D"/>
    <w:rsid w:val="007A543D"/>
    <w:rsid w:val="00A9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A736863-97BC-4A27-97C9-AE62886F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8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14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1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226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2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6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90722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4" w:color="auto"/>
                                            <w:left w:val="none" w:sz="0" w:space="4" w:color="auto"/>
                                            <w:bottom w:val="none" w:sz="0" w:space="4" w:color="FFFFFF"/>
                                            <w:right w:val="none" w:sz="0" w:space="4" w:color="auto"/>
                                          </w:divBdr>
                                        </w:div>
                                        <w:div w:id="18699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1" w:color="FFFFFF"/>
                                            <w:left w:val="none" w:sz="0" w:space="15" w:color="auto"/>
                                            <w:bottom w:val="none" w:sz="0" w:space="11" w:color="auto"/>
                                            <w:right w:val="none" w:sz="0" w:space="15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411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9706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4" w:color="auto"/>
                                            <w:left w:val="none" w:sz="0" w:space="4" w:color="auto"/>
                                            <w:bottom w:val="none" w:sz="0" w:space="4" w:color="FFFFFF"/>
                                            <w:right w:val="none" w:sz="0" w:space="4" w:color="auto"/>
                                          </w:divBdr>
                                        </w:div>
                                        <w:div w:id="11799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1" w:color="FFFFFF"/>
                                            <w:left w:val="none" w:sz="0" w:space="15" w:color="auto"/>
                                            <w:bottom w:val="none" w:sz="0" w:space="11" w:color="auto"/>
                                            <w:right w:val="none" w:sz="0" w:space="15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19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0409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8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7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22946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4" w:color="auto"/>
                                            <w:left w:val="none" w:sz="0" w:space="4" w:color="auto"/>
                                            <w:bottom w:val="none" w:sz="0" w:space="4" w:color="FFFFFF"/>
                                            <w:right w:val="none" w:sz="0" w:space="4" w:color="auto"/>
                                          </w:divBdr>
                                        </w:div>
                                        <w:div w:id="57783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1" w:color="FFFFFF"/>
                                            <w:left w:val="none" w:sz="0" w:space="15" w:color="auto"/>
                                            <w:bottom w:val="none" w:sz="0" w:space="11" w:color="auto"/>
                                            <w:right w:val="none" w:sz="0" w:space="15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447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4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9816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4" w:color="auto"/>
                                            <w:left w:val="none" w:sz="0" w:space="4" w:color="auto"/>
                                            <w:bottom w:val="none" w:sz="0" w:space="4" w:color="FFFFFF"/>
                                            <w:right w:val="none" w:sz="0" w:space="4" w:color="auto"/>
                                          </w:divBdr>
                                        </w:div>
                                        <w:div w:id="202987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1" w:color="FFFFFF"/>
                                            <w:left w:val="none" w:sz="0" w:space="15" w:color="auto"/>
                                            <w:bottom w:val="none" w:sz="0" w:space="11" w:color="auto"/>
                                            <w:right w:val="none" w:sz="0" w:space="15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edica.it/software-dentisti/tracciato-cefalometric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edica.it/software-dentisti/tracciato-cefalometri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edica.it/software-dentisti/tracciato-cefalometrico/" TargetMode="External"/><Relationship Id="rId5" Type="http://schemas.openxmlformats.org/officeDocument/2006/relationships/hyperlink" Target="https://imedica.it/software-dentisti/tracciato-cefalometric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/>
  <cp:revision>1</cp:revision>
  <dcterms:created xsi:type="dcterms:W3CDTF">2022-05-03T09:38:00Z</dcterms:created>
</cp:coreProperties>
</file>