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3D" w:rsidRPr="007A543D" w:rsidRDefault="007A543D" w:rsidP="007A543D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4A48F"/>
          <w:sz w:val="45"/>
          <w:szCs w:val="45"/>
          <w:lang w:eastAsia="it-IT"/>
        </w:rPr>
      </w:pPr>
      <w:r w:rsidRPr="007A543D">
        <w:rPr>
          <w:rFonts w:ascii="Arial" w:eastAsia="Times New Roman" w:hAnsi="Arial" w:cs="Arial"/>
          <w:b/>
          <w:bCs/>
          <w:color w:val="14A48F"/>
          <w:sz w:val="45"/>
          <w:szCs w:val="45"/>
          <w:lang w:eastAsia="it-IT"/>
        </w:rPr>
        <w:t xml:space="preserve">Lavora con il tracciato </w:t>
      </w:r>
      <w:proofErr w:type="spellStart"/>
      <w:r w:rsidRPr="007A543D">
        <w:rPr>
          <w:rFonts w:ascii="Arial" w:eastAsia="Times New Roman" w:hAnsi="Arial" w:cs="Arial"/>
          <w:b/>
          <w:bCs/>
          <w:color w:val="14A48F"/>
          <w:sz w:val="45"/>
          <w:szCs w:val="45"/>
          <w:lang w:eastAsia="it-IT"/>
        </w:rPr>
        <w:t>cefalometrico</w:t>
      </w:r>
      <w:proofErr w:type="spellEnd"/>
      <w:r w:rsidRPr="007A543D">
        <w:rPr>
          <w:rFonts w:ascii="Arial" w:eastAsia="Times New Roman" w:hAnsi="Arial" w:cs="Arial"/>
          <w:b/>
          <w:bCs/>
          <w:color w:val="14A48F"/>
          <w:sz w:val="45"/>
          <w:szCs w:val="45"/>
          <w:lang w:eastAsia="it-IT"/>
        </w:rPr>
        <w:t xml:space="preserve"> a video</w:t>
      </w:r>
    </w:p>
    <w:p w:rsidR="007A543D" w:rsidRPr="007A543D" w:rsidRDefault="007A543D" w:rsidP="007A543D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proofErr w:type="spellStart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ll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 programma </w:t>
      </w:r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IMCEPH.net</w:t>
      </w: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 permette, dopo aver acquisito la teleradiografia, da scanner </w:t>
      </w:r>
      <w:proofErr w:type="spellStart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retrolilluminato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, da sistemi di </w:t>
      </w:r>
      <w:proofErr w:type="spellStart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radiovideografia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, e/o da </w:t>
      </w:r>
      <w:proofErr w:type="spellStart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ortopantomografi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 digitali o da file, la realizzazione del </w:t>
      </w:r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tracciato </w:t>
      </w:r>
      <w:proofErr w:type="spellStart"/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cefalometrico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 </w:t>
      </w:r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direttamente a video.</w:t>
      </w: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 L’inserimento dei dati richiesti per l’elaborazione del tracciato è supportato da un utile glossario sonoro ed animato, relativo a </w:t>
      </w:r>
      <w:proofErr w:type="spellStart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reperi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, strutture ossee e dentali, tessuti molli. Successivamente all’acquisizione della radiografia la procedura di calibrazione può essere automatizzata per ogni sorgente e si può procedere alla selezione della metodica </w:t>
      </w:r>
      <w:proofErr w:type="spellStart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cefalometrica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 secondo la frequenza di utilizzo. </w:t>
      </w:r>
    </w:p>
    <w:p w:rsidR="007A543D" w:rsidRPr="007A543D" w:rsidRDefault="007A543D" w:rsidP="007A543D">
      <w:pPr>
        <w:shd w:val="clear" w:color="auto" w:fill="FFFFFF"/>
        <w:spacing w:line="336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La definizione dei </w:t>
      </w:r>
      <w:proofErr w:type="spellStart"/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reperi</w:t>
      </w:r>
      <w:proofErr w:type="spellEnd"/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cefalometrici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, si esegue a video grazie alle funzioni di zoom locale, elaborazione delle immagini, filtri e modifiche delle scale di grigio.  L’assoluta libertà di personalizzazione dei parametri rende </w:t>
      </w:r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IMCEPH.net uno strumento perfettamente adattabile alle specifiche esigenze dello studio odontoiatrico.</w:t>
      </w:r>
    </w:p>
    <w:p w:rsidR="007A543D" w:rsidRPr="007A543D" w:rsidRDefault="007A543D" w:rsidP="007A543D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4A48F"/>
          <w:sz w:val="45"/>
          <w:szCs w:val="45"/>
          <w:lang w:eastAsia="it-IT"/>
        </w:rPr>
      </w:pPr>
      <w:r w:rsidRPr="007A543D">
        <w:rPr>
          <w:rFonts w:ascii="Arial" w:eastAsia="Times New Roman" w:hAnsi="Arial" w:cs="Arial"/>
          <w:b/>
          <w:bCs/>
          <w:color w:val="14A48F"/>
          <w:sz w:val="45"/>
          <w:szCs w:val="45"/>
          <w:lang w:eastAsia="it-IT"/>
        </w:rPr>
        <w:t>FUNZIONALITÁ DEL SOFTWARE</w:t>
      </w:r>
    </w:p>
    <w:p w:rsidR="007A543D" w:rsidRPr="007A543D" w:rsidRDefault="007A543D" w:rsidP="007A543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</w:pPr>
      <w:hyperlink r:id="rId5" w:history="1">
        <w:r w:rsidRPr="007A543D">
          <w:rPr>
            <w:rFonts w:ascii="Arial" w:eastAsia="Times New Roman" w:hAnsi="Arial" w:cs="Arial"/>
            <w:b/>
            <w:bCs/>
            <w:color w:val="14A48F"/>
            <w:sz w:val="27"/>
            <w:szCs w:val="27"/>
            <w:u w:val="single"/>
            <w:bdr w:val="none" w:sz="0" w:space="0" w:color="auto" w:frame="1"/>
            <w:lang w:eastAsia="it-IT"/>
          </w:rPr>
          <w:t>CARTELLA CLINICA</w:t>
        </w:r>
      </w:hyperlink>
    </w:p>
    <w:p w:rsidR="007A543D" w:rsidRPr="007A543D" w:rsidRDefault="007A543D" w:rsidP="007A543D">
      <w:pPr>
        <w:spacing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Abbiamo integrato in IMCEPH.net l’uso della </w:t>
      </w:r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cartella clinica</w:t>
      </w: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 così da soddisfare l’ampia gamma di cartelle ortodontiche esistenti. Grazie alla cartella clinica è possibile la trasposizione digitale di tutti i documenti cartacei.</w:t>
      </w:r>
    </w:p>
    <w:p w:rsidR="007A543D" w:rsidRPr="007A543D" w:rsidRDefault="007A543D" w:rsidP="007A543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</w:pPr>
      <w:hyperlink r:id="rId6" w:history="1">
        <w:r w:rsidRPr="007A543D">
          <w:rPr>
            <w:rFonts w:ascii="Arial" w:eastAsia="Times New Roman" w:hAnsi="Arial" w:cs="Arial"/>
            <w:b/>
            <w:bCs/>
            <w:color w:val="14A48F"/>
            <w:sz w:val="27"/>
            <w:szCs w:val="27"/>
            <w:u w:val="single"/>
            <w:bdr w:val="none" w:sz="0" w:space="0" w:color="auto" w:frame="1"/>
            <w:lang w:eastAsia="it-IT"/>
          </w:rPr>
          <w:t>DIARIO CLINICO</w:t>
        </w:r>
      </w:hyperlink>
    </w:p>
    <w:p w:rsidR="007A543D" w:rsidRPr="007A543D" w:rsidRDefault="007A543D" w:rsidP="007A543D">
      <w:pPr>
        <w:spacing w:after="30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Progettato per una gestione puntuale dei ritmi intensi dello studio odontoiatrico, permette l’archiviazione ad ogni appuntamento di:</w:t>
      </w:r>
    </w:p>
    <w:p w:rsidR="007A543D" w:rsidRPr="007A543D" w:rsidRDefault="007A543D" w:rsidP="007A543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immagini: lastre, foto, modelli</w:t>
      </w:r>
    </w:p>
    <w:p w:rsidR="007A543D" w:rsidRPr="007A543D" w:rsidRDefault="007A543D" w:rsidP="007A543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valutazione igienica e psicologica</w:t>
      </w:r>
    </w:p>
    <w:p w:rsidR="007A543D" w:rsidRPr="007A543D" w:rsidRDefault="007A543D" w:rsidP="007A543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informazioni suddivise per arcata inferiore e superiore </w:t>
      </w:r>
    </w:p>
    <w:p w:rsidR="007A543D" w:rsidRPr="007A543D" w:rsidRDefault="007A543D" w:rsidP="007A543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medico e assistenti assegnati</w:t>
      </w:r>
    </w:p>
    <w:p w:rsidR="007A543D" w:rsidRPr="007A543D" w:rsidRDefault="007A543D" w:rsidP="007A543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un mancato appuntamento </w:t>
      </w:r>
    </w:p>
    <w:p w:rsidR="007A543D" w:rsidRPr="007A543D" w:rsidRDefault="007A543D" w:rsidP="007A543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note da rivedere per l’appuntamento successivo </w:t>
      </w:r>
    </w:p>
    <w:p w:rsidR="007A543D" w:rsidRPr="007A543D" w:rsidRDefault="007A543D" w:rsidP="007A543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</w:pPr>
      <w:hyperlink r:id="rId7" w:history="1">
        <w:r w:rsidRPr="007A543D">
          <w:rPr>
            <w:rFonts w:ascii="Arial" w:eastAsia="Times New Roman" w:hAnsi="Arial" w:cs="Arial"/>
            <w:b/>
            <w:bCs/>
            <w:color w:val="14A48F"/>
            <w:sz w:val="27"/>
            <w:szCs w:val="27"/>
            <w:u w:val="single"/>
            <w:bdr w:val="none" w:sz="0" w:space="0" w:color="auto" w:frame="1"/>
            <w:lang w:eastAsia="it-IT"/>
          </w:rPr>
          <w:t>STRUTTURE OSSEE E TESSUTI MOLLI</w:t>
        </w:r>
      </w:hyperlink>
    </w:p>
    <w:p w:rsidR="007A543D" w:rsidRPr="007A543D" w:rsidRDefault="007A543D" w:rsidP="007A543D">
      <w:p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Il software consente con facilità e precisione di </w:t>
      </w:r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disegnare la struttura ossea e i tessuti </w:t>
      </w:r>
      <w:proofErr w:type="gramStart"/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molli,</w:t>
      </w: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  indicando</w:t>
      </w:r>
      <w:proofErr w:type="gram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 una serie di punti, sulla radiografia. Per passare da una struttura all’altra è sufficiente posizionarsi sulla sigla di un’altra struttura. L’inserimento delle </w:t>
      </w:r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Strutture Ossee</w:t>
      </w: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 e dei </w:t>
      </w:r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Tessuti Molli</w:t>
      </w: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 non sono obbligatori per il calcolo delle analisi.</w:t>
      </w:r>
    </w:p>
    <w:p w:rsidR="007A543D" w:rsidRPr="007A543D" w:rsidRDefault="007A543D" w:rsidP="007A543D">
      <w:p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Per effettuare il posizionamento del</w:t>
      </w:r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 </w:t>
      </w:r>
      <w:proofErr w:type="spellStart"/>
      <w:r w:rsidRPr="007A543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repere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 basta cliccare sulla radiografia in corrispondenza del punto richiesto.</w:t>
      </w:r>
    </w:p>
    <w:p w:rsidR="007A543D" w:rsidRPr="007A543D" w:rsidRDefault="007A543D" w:rsidP="007A543D">
      <w:pPr>
        <w:spacing w:after="30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Per comodità di utilizzo l’elenco prevede la suddivisione dei punti in tre categorie: ossei, dentali, estetici. La selezione automatica permette di continuare a cliccare sulla radiografia seguendo l’ordine in cui sono </w:t>
      </w:r>
      <w:proofErr w:type="gramStart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richiesti  i</w:t>
      </w:r>
      <w:proofErr w:type="gram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 punti.</w:t>
      </w:r>
    </w:p>
    <w:p w:rsidR="007A543D" w:rsidRPr="007A543D" w:rsidRDefault="007A543D" w:rsidP="007A543D">
      <w:pPr>
        <w:spacing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 </w:t>
      </w:r>
    </w:p>
    <w:p w:rsidR="007A543D" w:rsidRPr="007A543D" w:rsidRDefault="007A543D" w:rsidP="007A543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it-IT"/>
        </w:rPr>
      </w:pPr>
      <w:hyperlink r:id="rId8" w:history="1">
        <w:r w:rsidRPr="007A543D">
          <w:rPr>
            <w:rFonts w:ascii="Arial" w:eastAsia="Times New Roman" w:hAnsi="Arial" w:cs="Arial"/>
            <w:b/>
            <w:bCs/>
            <w:color w:val="14A48F"/>
            <w:sz w:val="27"/>
            <w:szCs w:val="27"/>
            <w:u w:val="single"/>
            <w:bdr w:val="none" w:sz="0" w:space="0" w:color="auto" w:frame="1"/>
            <w:lang w:eastAsia="it-IT"/>
          </w:rPr>
          <w:t>METODICHE</w:t>
        </w:r>
      </w:hyperlink>
    </w:p>
    <w:p w:rsidR="007A543D" w:rsidRPr="007A543D" w:rsidRDefault="007A543D" w:rsidP="007A543D">
      <w:pPr>
        <w:spacing w:after="30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Lo studio </w:t>
      </w:r>
      <w:proofErr w:type="spellStart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cefalometrico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 xml:space="preserve"> viene eseguito selezionando a corredo dell’applicazione, le più comuni metodiche </w:t>
      </w:r>
      <w:proofErr w:type="gramStart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ortodontiche,  quali</w:t>
      </w:r>
      <w:proofErr w:type="gramEnd"/>
      <w:r w:rsidRPr="007A543D">
        <w:rPr>
          <w:rFonts w:ascii="inherit" w:eastAsia="Times New Roman" w:hAnsi="inherit" w:cs="Arial"/>
          <w:sz w:val="24"/>
          <w:szCs w:val="24"/>
          <w:lang w:eastAsia="it-IT"/>
        </w:rPr>
        <w:t>: 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Arnett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Bjork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proofErr w:type="spellStart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Jarabak</w:t>
      </w:r>
      <w:proofErr w:type="spellEnd"/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Cagliari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proofErr w:type="spellStart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Cervera</w:t>
      </w:r>
      <w:proofErr w:type="spellEnd"/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proofErr w:type="spellStart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Delaire</w:t>
      </w:r>
      <w:proofErr w:type="spellEnd"/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Diagnosi Funzionale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EBO-IBO 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proofErr w:type="spellStart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Enlow</w:t>
      </w:r>
      <w:proofErr w:type="spellEnd"/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proofErr w:type="spellStart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Giannì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 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Kentucky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Level Anchorage 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MBT®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proofErr w:type="spellStart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McNamara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 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Powell 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Profilo Cutaneo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 xml:space="preserve">Profilo </w:t>
      </w:r>
      <w:proofErr w:type="spellStart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Dentoscheletrico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 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proofErr w:type="spellStart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Richetts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 xml:space="preserve"> (13/32 fattori)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 xml:space="preserve">Roth </w:t>
      </w:r>
      <w:proofErr w:type="spellStart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Jaraback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 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proofErr w:type="spellStart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Stantard</w:t>
      </w:r>
      <w:proofErr w:type="spellEnd"/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 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Steiner 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Tweed </w:t>
      </w:r>
    </w:p>
    <w:p w:rsidR="007A543D" w:rsidRPr="007A543D" w:rsidRDefault="007A543D" w:rsidP="007A543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7A543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it-IT"/>
        </w:rPr>
        <w:t>Analisi dei Modelli</w:t>
      </w:r>
    </w:p>
    <w:p w:rsidR="00A907E5" w:rsidRDefault="00A907E5"/>
    <w:sectPr w:rsidR="00A90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1989"/>
    <w:multiLevelType w:val="multilevel"/>
    <w:tmpl w:val="872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B46A6"/>
    <w:multiLevelType w:val="multilevel"/>
    <w:tmpl w:val="445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D"/>
    <w:rsid w:val="007A543D"/>
    <w:rsid w:val="00A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A736863-97BC-4A27-97C9-AE62886F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1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9072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4" w:color="auto"/>
                                            <w:left w:val="none" w:sz="0" w:space="4" w:color="auto"/>
                                            <w:bottom w:val="none" w:sz="0" w:space="4" w:color="FFFFFF"/>
                                            <w:right w:val="none" w:sz="0" w:space="4" w:color="auto"/>
                                          </w:divBdr>
                                        </w:div>
                                        <w:div w:id="1869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1" w:color="FFFFFF"/>
                                            <w:left w:val="none" w:sz="0" w:space="15" w:color="auto"/>
                                            <w:bottom w:val="none" w:sz="0" w:space="11" w:color="auto"/>
                                            <w:right w:val="none" w:sz="0" w:space="1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1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9706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4" w:color="auto"/>
                                            <w:left w:val="none" w:sz="0" w:space="4" w:color="auto"/>
                                            <w:bottom w:val="none" w:sz="0" w:space="4" w:color="FFFFFF"/>
                                            <w:right w:val="none" w:sz="0" w:space="4" w:color="auto"/>
                                          </w:divBdr>
                                        </w:div>
                                        <w:div w:id="11799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1" w:color="FFFFFF"/>
                                            <w:left w:val="none" w:sz="0" w:space="15" w:color="auto"/>
                                            <w:bottom w:val="none" w:sz="0" w:space="11" w:color="auto"/>
                                            <w:right w:val="none" w:sz="0" w:space="1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9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09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2294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4" w:color="auto"/>
                                            <w:left w:val="none" w:sz="0" w:space="4" w:color="auto"/>
                                            <w:bottom w:val="none" w:sz="0" w:space="4" w:color="FFFFFF"/>
                                            <w:right w:val="none" w:sz="0" w:space="4" w:color="auto"/>
                                          </w:divBdr>
                                        </w:div>
                                        <w:div w:id="57783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1" w:color="FFFFFF"/>
                                            <w:left w:val="none" w:sz="0" w:space="15" w:color="auto"/>
                                            <w:bottom w:val="none" w:sz="0" w:space="11" w:color="auto"/>
                                            <w:right w:val="none" w:sz="0" w:space="1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4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4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98161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4" w:color="auto"/>
                                            <w:left w:val="none" w:sz="0" w:space="4" w:color="auto"/>
                                            <w:bottom w:val="none" w:sz="0" w:space="4" w:color="FFFFFF"/>
                                            <w:right w:val="none" w:sz="0" w:space="4" w:color="auto"/>
                                          </w:divBdr>
                                        </w:div>
                                        <w:div w:id="2029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1" w:color="FFFFFF"/>
                                            <w:left w:val="none" w:sz="0" w:space="15" w:color="auto"/>
                                            <w:bottom w:val="none" w:sz="0" w:space="11" w:color="auto"/>
                                            <w:right w:val="none" w:sz="0" w:space="1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edica.it/software-dentisti/tracciato-cefalometri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edica.it/software-dentisti/tracciato-cefalometr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edica.it/software-dentisti/tracciato-cefalometrico/" TargetMode="External"/><Relationship Id="rId5" Type="http://schemas.openxmlformats.org/officeDocument/2006/relationships/hyperlink" Target="https://imedica.it/software-dentisti/tracciato-cefalometric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/>
  <cp:revision>1</cp:revision>
  <dcterms:created xsi:type="dcterms:W3CDTF">2022-05-03T09:38:00Z</dcterms:created>
</cp:coreProperties>
</file>